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6" w:rsidRDefault="0000645E">
      <w:pPr>
        <w:pStyle w:val="Titre1"/>
        <w:jc w:val="center"/>
      </w:pPr>
      <w:r>
        <w:rPr>
          <w:noProof/>
          <w:lang w:eastAsia="fr-FR"/>
        </w:rPr>
        <w:drawing>
          <wp:inline distT="0" distB="0" distL="0" distR="0">
            <wp:extent cx="2400935" cy="19545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86" w:rsidRDefault="00F14286"/>
    <w:p w:rsidR="00F14286" w:rsidRDefault="0000645E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>
        <w:rPr>
          <w:rFonts w:cs="Aharoni"/>
          <w:color w:val="1F497D" w:themeColor="text2"/>
          <w:sz w:val="36"/>
          <w:szCs w:val="36"/>
        </w:rPr>
        <w:t>APPEL A PROJETS LOCAL</w:t>
      </w:r>
    </w:p>
    <w:p w:rsidR="00F14286" w:rsidRDefault="0000645E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« Mobilisés contre le racisme, l’antisémitisme, </w:t>
      </w:r>
    </w:p>
    <w:p w:rsidR="00F14286" w:rsidRDefault="0000645E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r>
        <w:rPr>
          <w:rFonts w:asciiTheme="majorHAnsi" w:hAnsiTheme="majorHAnsi" w:cstheme="minorHAnsi"/>
          <w:color w:val="1F497D" w:themeColor="text2"/>
          <w:sz w:val="40"/>
          <w:szCs w:val="36"/>
        </w:rPr>
        <w:t>la haine et les discriminations anti-LGBT»</w:t>
      </w:r>
    </w:p>
    <w:p w:rsidR="00F14286" w:rsidRDefault="0000645E">
      <w:pPr>
        <w:pStyle w:val="Titre1"/>
        <w:spacing w:before="0" w:after="120"/>
        <w:jc w:val="center"/>
        <w:rPr>
          <w:rFonts w:ascii="Cambria" w:hAnsi="Cambria" w:cs="Aharoni"/>
          <w:b w:val="0"/>
          <w:color w:val="1F497D" w:themeColor="text2"/>
          <w:sz w:val="36"/>
          <w:szCs w:val="36"/>
        </w:rPr>
      </w:pPr>
      <w:r>
        <w:rPr>
          <w:rFonts w:cs="Aharoni"/>
          <w:b w:val="0"/>
          <w:color w:val="1F497D" w:themeColor="text2"/>
          <w:sz w:val="36"/>
          <w:szCs w:val="36"/>
        </w:rPr>
        <w:t>2020-2021</w:t>
      </w:r>
    </w:p>
    <w:p w:rsidR="00F14286" w:rsidRDefault="00F14286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:rsidR="00F14286" w:rsidRDefault="0000645E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La délégation interministérielle à la lutte contre le racisme, l’antisémitisme et la haine anti- LGBT (DILCRAH) soutient et encourage les initiatives de la société civile engagée contre les haines et les discriminations. </w:t>
      </w:r>
    </w:p>
    <w:p w:rsidR="00F14286" w:rsidRDefault="0000645E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En 2019/2020, 300 projets de lutte</w:t>
      </w:r>
      <w:r>
        <w:rPr>
          <w:rFonts w:cstheme="minorHAnsi"/>
          <w:color w:val="1F497D" w:themeColor="text2"/>
          <w:sz w:val="24"/>
          <w:szCs w:val="24"/>
        </w:rPr>
        <w:t xml:space="preserve"> contre la haine et les discriminations anti-LGBT ainsi que 590 actions de lutte contre le racisme et l’antisémitisme ont été subventionnés. </w:t>
      </w:r>
    </w:p>
    <w:p w:rsidR="00F14286" w:rsidRDefault="0000645E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Ce sont donc plus de 890 projets qui ont été financés et qui ont permis de mener des actions dans tous les territo</w:t>
      </w:r>
      <w:r>
        <w:rPr>
          <w:rFonts w:cstheme="minorHAnsi"/>
          <w:color w:val="1F497D" w:themeColor="text2"/>
          <w:sz w:val="24"/>
          <w:szCs w:val="24"/>
        </w:rPr>
        <w:t>ires métropolitains et ultra-marins. Ces initiatives sont venues compléter la mobilisation et l’action des services de l’Etat et des collectivités territoriales contre le racisme, l’antisémitisme et les discriminations anti-LGBT.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Fort du succès rencontré l</w:t>
      </w:r>
      <w:r>
        <w:rPr>
          <w:rFonts w:cstheme="minorHAnsi"/>
          <w:color w:val="1F497D" w:themeColor="text2"/>
          <w:sz w:val="24"/>
          <w:szCs w:val="24"/>
        </w:rPr>
        <w:t>ors des précédentes éditions, la DILCRAH a souhaité</w:t>
      </w:r>
      <w:r>
        <w:rPr>
          <w:color w:val="1F497D" w:themeColor="text2"/>
          <w:sz w:val="24"/>
          <w:szCs w:val="24"/>
        </w:rPr>
        <w:t xml:space="preserve"> renouveler le dispositif. Doté de deux enveloppes de 1 ,5 million d’euros (lutte contre le racisme et l’antisémitisme) et 500.000 euros (lutte contre la haine et les discriminations anti-LGBT), ce nouvel </w:t>
      </w:r>
      <w:r>
        <w:rPr>
          <w:color w:val="1F497D" w:themeColor="text2"/>
          <w:sz w:val="24"/>
          <w:szCs w:val="24"/>
        </w:rPr>
        <w:t xml:space="preserve">appel à projets </w:t>
      </w:r>
      <w:r>
        <w:rPr>
          <w:rFonts w:cstheme="minorHAnsi"/>
          <w:color w:val="1F497D" w:themeColor="text2"/>
          <w:sz w:val="24"/>
          <w:szCs w:val="24"/>
        </w:rPr>
        <w:t>permettra de promouvoir des actions citoyennes</w:t>
      </w:r>
      <w:r>
        <w:rPr>
          <w:color w:val="1F497D" w:themeColor="text2"/>
          <w:sz w:val="24"/>
          <w:szCs w:val="24"/>
        </w:rPr>
        <w:t xml:space="preserve"> </w:t>
      </w:r>
      <w:r>
        <w:rPr>
          <w:rFonts w:cstheme="minorHAnsi"/>
          <w:color w:val="1F497D" w:themeColor="text2"/>
          <w:sz w:val="24"/>
          <w:szCs w:val="24"/>
        </w:rPr>
        <w:t>liées à l’éducation, la prévention, la formation et l’aide aux victimes, ainsi que des actions de communication, et d’organiser des événements en lien avec la lutte contre le racisme et l’antis</w:t>
      </w:r>
      <w:r>
        <w:rPr>
          <w:rFonts w:cstheme="minorHAnsi"/>
          <w:color w:val="1F497D" w:themeColor="text2"/>
          <w:sz w:val="24"/>
          <w:szCs w:val="24"/>
        </w:rPr>
        <w:t>émitisme et la lutte contre la haine et les discriminations anti-LGBT.</w:t>
      </w:r>
    </w:p>
    <w:p w:rsidR="00F14286" w:rsidRDefault="0000645E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>
        <w:rPr>
          <w:rFonts w:cstheme="minorHAnsi"/>
          <w:b/>
          <w:color w:val="1F497D" w:themeColor="text2"/>
          <w:sz w:val="24"/>
          <w:szCs w:val="24"/>
        </w:rPr>
        <w:t>Ensemble, continuons à faire reculer la haine !</w:t>
      </w:r>
    </w:p>
    <w:p w:rsidR="00F14286" w:rsidRDefault="0000645E">
      <w:pPr>
        <w:pStyle w:val="Titre1"/>
        <w:spacing w:before="120" w:after="120"/>
        <w:jc w:val="center"/>
        <w:rPr>
          <w:smallCaps/>
          <w:color w:val="1F497D" w:themeColor="text2"/>
        </w:rPr>
      </w:pPr>
      <w:r>
        <w:rPr>
          <w:smallCaps/>
          <w:color w:val="1F497D" w:themeColor="text2"/>
          <w:sz w:val="32"/>
          <w:szCs w:val="32"/>
        </w:rPr>
        <w:lastRenderedPageBreak/>
        <w:t>Qui peut candidater</w:t>
      </w:r>
      <w:r>
        <w:rPr>
          <w:smallCaps/>
          <w:color w:val="1F497D" w:themeColor="text2"/>
        </w:rPr>
        <w:t> ?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 anti-LGBT, et/ou de promouvoir les valeurs de la République, et/ou de mener une action éducative et pédagogi</w:t>
      </w:r>
      <w:r>
        <w:rPr>
          <w:rFonts w:cstheme="minorHAnsi"/>
          <w:color w:val="1F497D" w:themeColor="text2"/>
          <w:sz w:val="24"/>
          <w:szCs w:val="24"/>
        </w:rPr>
        <w:t xml:space="preserve">que. Elles peuvent être constituées de professionnels et/ou de bénévoles, de type associatif ou non. Peuvent donc notamment candidater les associations loi 1901, les établissements culturels, ainsi que les établissements scolaires et universitaires. </w:t>
      </w:r>
    </w:p>
    <w:p w:rsidR="00F14286" w:rsidRDefault="00F1428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F14286" w:rsidRDefault="0000645E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>
        <w:rPr>
          <w:smallCaps/>
          <w:color w:val="1F497D" w:themeColor="text2"/>
          <w:sz w:val="32"/>
          <w:szCs w:val="32"/>
        </w:rPr>
        <w:t>Quel</w:t>
      </w:r>
      <w:r>
        <w:rPr>
          <w:smallCaps/>
          <w:color w:val="1F497D" w:themeColor="text2"/>
          <w:sz w:val="32"/>
          <w:szCs w:val="32"/>
        </w:rPr>
        <w:t>s projets peuvent être soutenus ?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Cet appel à projets a pour but de soutenir les actions </w:t>
      </w:r>
      <w:r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>
        <w:rPr>
          <w:rFonts w:cstheme="minorHAnsi"/>
          <w:color w:val="1F497D" w:themeColor="text2"/>
          <w:sz w:val="24"/>
          <w:szCs w:val="24"/>
        </w:rPr>
        <w:t>qui s’inscrivent dans les objectifs du «plan national de lutte contre le racisme et l’antisémitisme 2018-2020» et du « plan national d’actions po</w:t>
      </w:r>
      <w:r>
        <w:rPr>
          <w:rFonts w:cstheme="minorHAnsi"/>
          <w:color w:val="1F497D" w:themeColor="text2"/>
          <w:sz w:val="24"/>
          <w:szCs w:val="24"/>
        </w:rPr>
        <w:t xml:space="preserve">ur l’égalité des droits, contre la haine et les discriminations anti-LGBT+ 2020-2023 » librement consultables et </w:t>
      </w:r>
      <w:hyperlink r:id="rId9">
        <w:r>
          <w:rPr>
            <w:rStyle w:val="ListLabel12"/>
          </w:rPr>
          <w:t>téléchargeable</w:t>
        </w:r>
      </w:hyperlink>
      <w:r>
        <w:rPr>
          <w:color w:val="1F497D" w:themeColor="text2"/>
          <w:sz w:val="24"/>
          <w:szCs w:val="24"/>
        </w:rPr>
        <w:t>s</w:t>
      </w:r>
      <w:r>
        <w:rPr>
          <w:rStyle w:val="Ancredenotedebasdepage"/>
          <w:rFonts w:cstheme="minorHAnsi"/>
          <w:color w:val="17365D" w:themeColor="text2" w:themeShade="BF"/>
        </w:rPr>
        <w:footnoteReference w:id="1"/>
      </w:r>
      <w:r>
        <w:rPr>
          <w:rFonts w:cstheme="minorHAnsi"/>
          <w:color w:val="1F497D" w:themeColor="text2"/>
          <w:sz w:val="24"/>
          <w:szCs w:val="24"/>
        </w:rPr>
        <w:t>.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Sont ainsi éligibles des projets qui visent notamment à la ré</w:t>
      </w:r>
      <w:r>
        <w:rPr>
          <w:rFonts w:cstheme="minorHAnsi"/>
          <w:color w:val="1F497D" w:themeColor="text2"/>
          <w:sz w:val="24"/>
          <w:szCs w:val="24"/>
        </w:rPr>
        <w:t xml:space="preserve">alisation de l’un ou plusieurs de ces objectifs : </w:t>
      </w:r>
    </w:p>
    <w:p w:rsidR="00F14286" w:rsidRDefault="0000645E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• la connaissance de l’autre, l’engagement citoyen et le bien-vivre ensemble, la lutte contre les préjugés et les stéréotypes, par des actions à destination des jeunes, sur et hors temps scolaire </w:t>
      </w:r>
    </w:p>
    <w:p w:rsidR="00F14286" w:rsidRDefault="0000645E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>la pro</w:t>
      </w:r>
      <w:r>
        <w:rPr>
          <w:rFonts w:cstheme="minorHAnsi"/>
          <w:color w:val="1F497D" w:themeColor="text2"/>
          <w:sz w:val="24"/>
          <w:szCs w:val="24"/>
        </w:rPr>
        <w:t>duction de ressources et de contre-discours en ligne ainsi que le développement du signalement des discours de haine sur internet</w:t>
      </w:r>
    </w:p>
    <w:p w:rsidR="00F14286" w:rsidRDefault="0000645E">
      <w:pPr>
        <w:ind w:left="1276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1F497D" w:themeColor="text2"/>
          <w:sz w:val="24"/>
          <w:szCs w:val="24"/>
        </w:rPr>
        <w:t>le soutien à des projets citoyens liés à l’information, la prévention, la formation et l’aide aux victimes, ainsi que les ac</w:t>
      </w:r>
      <w:r>
        <w:rPr>
          <w:rFonts w:cstheme="minorHAnsi"/>
          <w:color w:val="1F497D" w:themeColor="text2"/>
          <w:sz w:val="24"/>
          <w:szCs w:val="24"/>
        </w:rPr>
        <w:t>tions de communication et l’organisation d’événements contre la haine et les discriminations anti-LGBT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:rsidR="00F14286" w:rsidRDefault="0000645E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F14286" w:rsidRDefault="0000645E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 xml:space="preserve">l’accompagnement et la formation des acteurs de la lutte contre le racisme et l’antisémitisme </w:t>
      </w:r>
      <w:r>
        <w:rPr>
          <w:rFonts w:cstheme="minorHAnsi"/>
          <w:color w:val="1F497D" w:themeColor="text2"/>
          <w:sz w:val="24"/>
          <w:szCs w:val="24"/>
        </w:rPr>
        <w:t>et/ou les discriminations anti-LGBT</w:t>
      </w:r>
    </w:p>
    <w:p w:rsidR="00F14286" w:rsidRDefault="0000645E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F14286" w:rsidRDefault="0000645E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>l’accompagnement des victimes de racisme, d’antisémitisme et/ou de discriminations anti-LGBT</w:t>
      </w:r>
    </w:p>
    <w:p w:rsidR="00F14286" w:rsidRDefault="0000645E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 xml:space="preserve">la participation à la semaine d’éducation et d’action contre le </w:t>
      </w:r>
      <w:r>
        <w:rPr>
          <w:rFonts w:cstheme="minorHAnsi"/>
          <w:color w:val="1F497D" w:themeColor="text2"/>
          <w:sz w:val="24"/>
          <w:szCs w:val="24"/>
        </w:rPr>
        <w:t>racisme et l’antisémitisme de mars 2021</w:t>
      </w:r>
    </w:p>
    <w:p w:rsidR="00F14286" w:rsidRDefault="0000645E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lastRenderedPageBreak/>
        <w:t>•</w:t>
      </w:r>
      <w:r>
        <w:rPr>
          <w:rFonts w:cstheme="minorHAnsi"/>
          <w:color w:val="1F497D" w:themeColor="text2"/>
          <w:sz w:val="24"/>
          <w:szCs w:val="24"/>
        </w:rPr>
        <w:tab/>
        <w:t>la participation aux évènements qui se dérouleront autour de la Journée mondiale de lutte contre l’homophobie et la transphobie du 17 mai et des Marches des Fiertés LGBT</w:t>
      </w:r>
    </w:p>
    <w:p w:rsidR="00F14286" w:rsidRDefault="00F14286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F14286" w:rsidRDefault="0000645E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>
        <w:rPr>
          <w:caps/>
          <w:color w:val="1F497D" w:themeColor="text2"/>
        </w:rPr>
        <w:t xml:space="preserve">Quels projets seront réjetes </w:t>
      </w:r>
      <w:r>
        <w:rPr>
          <w:smallCaps/>
          <w:color w:val="1F497D" w:themeColor="text2"/>
          <w:sz w:val="32"/>
          <w:szCs w:val="32"/>
        </w:rPr>
        <w:t>?</w:t>
      </w:r>
    </w:p>
    <w:p w:rsidR="00F14286" w:rsidRDefault="0000645E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Ne seront pa</w:t>
      </w:r>
      <w:r>
        <w:rPr>
          <w:rFonts w:cstheme="minorHAnsi"/>
          <w:color w:val="1F497D" w:themeColor="text2"/>
          <w:sz w:val="24"/>
          <w:szCs w:val="24"/>
        </w:rPr>
        <w:t>s retenus les projets trop généraux ou ne faisant pas de lien concret et direct avec la lutte contre le racisme, l’antisémitisme, la haine et/ou les discriminations anti-LGBT (généralités sur « la citoyenneté », « le vivre-ensemble », « les valeurs » comme</w:t>
      </w:r>
      <w:r>
        <w:rPr>
          <w:rFonts w:cstheme="minorHAnsi"/>
          <w:color w:val="1F497D" w:themeColor="text2"/>
          <w:sz w:val="24"/>
          <w:szCs w:val="24"/>
        </w:rPr>
        <w:t xml:space="preserve"> par exemple: « les valeurs du sport », projet portant exclusivement sur l’égalité femmes-hommes, la radicalisation, etc).</w:t>
      </w:r>
    </w:p>
    <w:p w:rsidR="00F14286" w:rsidRDefault="00F14286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F14286" w:rsidRDefault="0000645E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Les candidatures font d’abord l’objet d’une instruction et d’une pré-sélection local</w:t>
      </w:r>
      <w:r>
        <w:rPr>
          <w:color w:val="1F497D" w:themeColor="text2"/>
          <w:sz w:val="24"/>
          <w:szCs w:val="24"/>
        </w:rPr>
        <w:t xml:space="preserve">e dans le cadre des Comités Opérationnels de lutte contre le Racisme, l’Antisémitisme et la Haine anti-LGBT (CORAH), présidés par le préfet du département. 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La DILCRAH procède, nationalement, à l’étude finale des projets et décide du montant de la subventi</w:t>
      </w:r>
      <w:r>
        <w:rPr>
          <w:rFonts w:cstheme="minorHAnsi"/>
          <w:color w:val="1F497D" w:themeColor="text2"/>
          <w:sz w:val="24"/>
          <w:szCs w:val="24"/>
        </w:rPr>
        <w:t>on allouée pour chaque dossier retenu. La DILCRAH s’assure notamment du respect des objectifs précédemment cités et de l’équité territoriale.</w:t>
      </w:r>
    </w:p>
    <w:p w:rsidR="00F14286" w:rsidRDefault="00F1428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F14286" w:rsidRDefault="0000645E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Les lauréats s’engagent à mettre en œuvre leur projet dans le courant d</w:t>
      </w:r>
      <w:r>
        <w:rPr>
          <w:rFonts w:cstheme="minorHAnsi"/>
          <w:color w:val="1F497D" w:themeColor="text2"/>
          <w:sz w:val="24"/>
          <w:szCs w:val="24"/>
        </w:rPr>
        <w:t xml:space="preserve">e l’année 2021. 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Les lauréats s’engagent à respecter </w:t>
      </w:r>
      <w:r>
        <w:rPr>
          <w:rFonts w:cstheme="minorHAnsi"/>
          <w:b/>
          <w:color w:val="1F497D" w:themeColor="text2"/>
          <w:sz w:val="24"/>
          <w:szCs w:val="24"/>
        </w:rPr>
        <w:t>les valeurs de la République.</w:t>
      </w:r>
    </w:p>
    <w:p w:rsidR="00F14286" w:rsidRDefault="0000645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Les lauréats doivent apposer le logo de la DILCRAH sur tous les supports de communication relatifs à l’action financée. </w:t>
      </w:r>
    </w:p>
    <w:p w:rsidR="00F14286" w:rsidRDefault="0000645E">
      <w:pPr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Les lauréats s’engagent à :</w:t>
      </w:r>
    </w:p>
    <w:p w:rsidR="00F14286" w:rsidRDefault="0000645E">
      <w:pPr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-</w:t>
      </w:r>
      <w:r>
        <w:rPr>
          <w:rFonts w:cstheme="minorHAnsi"/>
          <w:color w:val="1F497D" w:themeColor="text2"/>
          <w:sz w:val="24"/>
          <w:szCs w:val="24"/>
        </w:rPr>
        <w:tab/>
        <w:t xml:space="preserve">Se renseigner dans le </w:t>
      </w:r>
      <w:r>
        <w:rPr>
          <w:rFonts w:cstheme="minorHAnsi"/>
          <w:color w:val="1F497D" w:themeColor="text2"/>
          <w:sz w:val="24"/>
          <w:szCs w:val="24"/>
        </w:rPr>
        <w:t xml:space="preserve">répertoire des partenaires de la DILCRAH accessible à l’adresse suivante </w:t>
      </w:r>
      <w:hyperlink r:id="rId10">
        <w:r>
          <w:rPr>
            <w:rStyle w:val="LienInternet"/>
            <w:rFonts w:cstheme="minorHAnsi"/>
            <w:sz w:val="24"/>
            <w:szCs w:val="24"/>
          </w:rPr>
          <w:t>https://www.dilcrah.fr/directory/add-directory-listing/</w:t>
        </w:r>
        <w:r>
          <w:rPr>
            <w:rStyle w:val="Ancredenotedebasdepage"/>
            <w:rFonts w:cstheme="minorHAnsi"/>
            <w:color w:val="17365D" w:themeColor="text2" w:themeShade="BF"/>
          </w:rPr>
          <w:footnoteReference w:id="2"/>
        </w:r>
      </w:hyperlink>
      <w:r>
        <w:rPr>
          <w:rFonts w:cstheme="minorHAnsi"/>
          <w:color w:val="1F497D" w:themeColor="text2"/>
          <w:sz w:val="24"/>
          <w:szCs w:val="24"/>
        </w:rPr>
        <w:t>.</w:t>
      </w:r>
    </w:p>
    <w:p w:rsidR="00F14286" w:rsidRDefault="0000645E">
      <w:pPr>
        <w:sectPr w:rsidR="00F1428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4096"/>
        </w:sectPr>
      </w:pPr>
      <w:r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3">
        <w:r>
          <w:rPr>
            <w:rStyle w:val="LienInternet"/>
            <w:rFonts w:cstheme="minorHAnsi"/>
            <w:sz w:val="24"/>
            <w:szCs w:val="24"/>
          </w:rPr>
          <w:t>https://www.dilcrah.fr/agenda/</w:t>
        </w:r>
      </w:hyperlink>
    </w:p>
    <w:p w:rsidR="00F14286" w:rsidRDefault="0000645E">
      <w:pPr>
        <w:pStyle w:val="Titre1"/>
        <w:spacing w:before="120" w:after="120"/>
        <w:jc w:val="center"/>
        <w:rPr>
          <w:rFonts w:ascii="Cambria" w:hAnsi="Cambria"/>
          <w:smallCaps/>
          <w:color w:val="244061" w:themeColor="accent1" w:themeShade="80"/>
          <w:sz w:val="32"/>
          <w:szCs w:val="32"/>
        </w:rPr>
      </w:pPr>
      <w:r>
        <w:rPr>
          <w:smallCaps/>
          <w:color w:val="244061" w:themeColor="accent1" w:themeShade="80"/>
          <w:sz w:val="32"/>
          <w:szCs w:val="32"/>
        </w:rPr>
        <w:lastRenderedPageBreak/>
        <w:t xml:space="preserve">Comment </w:t>
      </w:r>
      <w:r>
        <w:rPr>
          <w:smallCaps/>
          <w:color w:val="244061" w:themeColor="accent1" w:themeShade="80"/>
          <w:sz w:val="32"/>
          <w:szCs w:val="32"/>
        </w:rPr>
        <w:t>déposer un dossier de candidature ?</w:t>
      </w:r>
    </w:p>
    <w:p w:rsidR="00F14286" w:rsidRDefault="0000645E">
      <w:pPr>
        <w:pStyle w:val="Titre2"/>
        <w:jc w:val="center"/>
        <w:rPr>
          <w:color w:val="808080" w:themeColor="background1" w:themeShade="80"/>
        </w:rPr>
      </w:pPr>
      <w:r>
        <w:rPr>
          <w:rFonts w:ascii="Calibri" w:eastAsia="Calibri" w:hAnsi="Calibri" w:cstheme="minorHAnsi"/>
          <w:smallCaps/>
          <w:color w:val="1F497D" w:themeColor="text2"/>
          <w:sz w:val="24"/>
          <w:szCs w:val="24"/>
        </w:rPr>
        <w:t>Quelles sont les pièces à fournir ?</w:t>
      </w:r>
    </w:p>
    <w:p w:rsidR="00F14286" w:rsidRDefault="0000645E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color w:val="808080" w:themeColor="background1" w:themeShade="80"/>
          <w:sz w:val="24"/>
          <w:szCs w:val="24"/>
        </w:rPr>
        <w:t>L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e dossier de candidature comporte : </w:t>
      </w:r>
    </w:p>
    <w:p w:rsidR="00F14286" w:rsidRDefault="0000645E">
      <w:pPr>
        <w:pStyle w:val="Paragraphedeliste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 formulaire CERFA N°12156*03 ou *05 (annexe 2).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Les statuts régulièrement déclarés, en un seul exemplaire. Si l’association est enregistrée dans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 le RNA (Cf. page 2), il n’est pas nécessaire de les joindre.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La liste des personnes chargées de l’administration de l’association régulièrement déclarée (composition du conseil, du bureau, …). Il n’est pas nécessaire de la joindre si l’association est enr</w:t>
      </w:r>
      <w:r>
        <w:rPr>
          <w:rFonts w:eastAsia="Calibri" w:cstheme="minorHAnsi"/>
          <w:color w:val="1F497D" w:themeColor="text2"/>
          <w:sz w:val="24"/>
          <w:szCs w:val="24"/>
        </w:rPr>
        <w:t>egistrée dans le répertoire national des associations (RNA).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Un relevé d’identité bancaire, portant une adresse correspondant à celle du n° SIRET.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Si le dossier de candidature n’est pas signé par le représentant légal de l’association, le pouvoir donné par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 ce dernier au signataire.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Les comptes approuvés du dernier exercice clos.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 rapport du commissaire aux comptes pour les associations qui en ont désigné un, notamment celles qui ont reçu annuellement plus de 153 000 euros de dons ou de subventions.</w:t>
      </w:r>
    </w:p>
    <w:p w:rsidR="00F14286" w:rsidRDefault="000064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 cas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 échéant, la référence de la publication sur le site internet des JO des documents ci-dessus. En ce cas, il n'est pas nécessaire de les joindre.</w:t>
      </w:r>
    </w:p>
    <w:p w:rsidR="00F14286" w:rsidRDefault="0000645E">
      <w:pPr>
        <w:pStyle w:val="Paragraphedeliste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 plus récent rapport d’activité approuvé.</w:t>
      </w:r>
    </w:p>
    <w:p w:rsidR="00F14286" w:rsidRDefault="0000645E">
      <w:pPr>
        <w:pStyle w:val="Paragraphedeliste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 xml:space="preserve">Le compte-rendu financier de subvention si le porteur de projet a </w:t>
      </w:r>
      <w:r>
        <w:rPr>
          <w:rFonts w:eastAsia="Calibri" w:cstheme="minorHAnsi"/>
          <w:color w:val="1F497D" w:themeColor="text2"/>
          <w:sz w:val="24"/>
          <w:szCs w:val="24"/>
        </w:rPr>
        <w:t>été subventionné l’année n-1.</w:t>
      </w:r>
    </w:p>
    <w:p w:rsidR="00F14286" w:rsidRDefault="00F14286">
      <w:pPr>
        <w:rPr>
          <w:rFonts w:ascii="Calibri" w:eastAsia="Calibri" w:hAnsi="Calibri" w:cstheme="minorHAnsi"/>
          <w:b/>
          <w:bCs/>
          <w:color w:val="1F497D" w:themeColor="text2"/>
          <w:sz w:val="24"/>
          <w:szCs w:val="24"/>
        </w:rPr>
      </w:pPr>
    </w:p>
    <w:p w:rsidR="00F14286" w:rsidRDefault="0000645E">
      <w:pPr>
        <w:pStyle w:val="Titre2"/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ascii="Calibri" w:eastAsia="Calibri" w:hAnsi="Calibri" w:cstheme="minorHAnsi"/>
          <w:color w:val="1F497D" w:themeColor="text2"/>
          <w:sz w:val="24"/>
          <w:szCs w:val="24"/>
        </w:rPr>
        <w:t>Où déposer mon dossier de candidature ?</w:t>
      </w:r>
    </w:p>
    <w:p w:rsidR="00F14286" w:rsidRDefault="0000645E">
      <w:pPr>
        <w:jc w:val="both"/>
      </w:pPr>
      <w:r>
        <w:rPr>
          <w:rFonts w:cs="Calibri"/>
          <w:color w:val="365F92"/>
          <w:sz w:val="24"/>
          <w:szCs w:val="24"/>
        </w:rPr>
        <w:t xml:space="preserve">Le dossier complet est à envoyer sous forme électronique à : </w:t>
      </w:r>
      <w:r>
        <w:rPr>
          <w:color w:val="0000FF"/>
          <w:sz w:val="24"/>
        </w:rPr>
        <w:t>ddcs-dilcrah@puy-de-dome.gouv.fr</w:t>
      </w:r>
    </w:p>
    <w:p w:rsidR="00F14286" w:rsidRDefault="0000645E">
      <w:pPr>
        <w:jc w:val="both"/>
        <w:rPr>
          <w:rFonts w:ascii="Calibri" w:eastAsia="Calibri" w:hAnsi="Calibri" w:cstheme="minorHAnsi"/>
          <w:color w:val="1F497D" w:themeColor="text2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Les porteurs de projets pourront être reçus par une commission de sélection départementale. Dans ce cas, les porteurs de projets recevront une invitation 1 semaine avant. Ils pourront présenter leur projet et apporter les précisions sollicitées par les mem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bres de cette commission. </w:t>
      </w:r>
    </w:p>
    <w:p w:rsidR="00F14286" w:rsidRDefault="00F14286">
      <w:pPr>
        <w:jc w:val="both"/>
        <w:rPr>
          <w:rFonts w:ascii="Calibri" w:eastAsia="Calibri" w:hAnsi="Calibri" w:cstheme="minorHAnsi"/>
          <w:color w:val="1F497D" w:themeColor="text2"/>
          <w:sz w:val="24"/>
          <w:szCs w:val="24"/>
        </w:rPr>
      </w:pPr>
    </w:p>
    <w:p w:rsidR="00F14286" w:rsidRDefault="0000645E">
      <w:pPr>
        <w:pStyle w:val="Titre2"/>
        <w:jc w:val="center"/>
        <w:rPr>
          <w:rFonts w:ascii="Calibri" w:eastAsia="Calibri" w:hAnsi="Calibri" w:cstheme="minorHAnsi"/>
          <w:color w:val="1F497D" w:themeColor="text2"/>
          <w:sz w:val="24"/>
          <w:szCs w:val="24"/>
        </w:rPr>
      </w:pPr>
      <w:r>
        <w:rPr>
          <w:rFonts w:ascii="Calibri" w:eastAsia="Calibri" w:hAnsi="Calibri" w:cstheme="minorHAnsi"/>
          <w:color w:val="1F497D" w:themeColor="text2"/>
          <w:sz w:val="24"/>
          <w:szCs w:val="24"/>
        </w:rPr>
        <w:t>Quand et comment les lauréats de l’appel à projets seront-ils avisés?</w:t>
      </w:r>
    </w:p>
    <w:p w:rsidR="00F14286" w:rsidRDefault="0000645E">
      <w:pPr>
        <w:jc w:val="both"/>
        <w:rPr>
          <w:rFonts w:ascii="Calibri" w:eastAsia="Calibri" w:hAnsi="Calibri" w:cstheme="minorHAnsi"/>
          <w:color w:val="1F497D" w:themeColor="text2"/>
          <w:sz w:val="24"/>
          <w:szCs w:val="24"/>
        </w:rPr>
      </w:pPr>
      <w:r>
        <w:rPr>
          <w:rFonts w:eastAsia="Calibri" w:cstheme="minorHAnsi"/>
          <w:color w:val="1F497D" w:themeColor="text2"/>
          <w:sz w:val="24"/>
          <w:szCs w:val="24"/>
        </w:rPr>
        <w:t>Les lauréats de l’appel à projets seront avisés par les services de la préfecture dont ils relèvent, courant janvier/février 2021, du montant de la subvention</w:t>
      </w:r>
      <w:r>
        <w:rPr>
          <w:rFonts w:eastAsia="Calibri" w:cstheme="minorHAnsi"/>
          <w:color w:val="1F497D" w:themeColor="text2"/>
          <w:sz w:val="24"/>
          <w:szCs w:val="24"/>
        </w:rPr>
        <w:t xml:space="preserve"> qui leur a été attribuée et des modalités de versement de cette subvention. </w:t>
      </w:r>
    </w:p>
    <w:p w:rsidR="00F14286" w:rsidRDefault="00F14286">
      <w:pPr>
        <w:jc w:val="both"/>
        <w:rPr>
          <w:color w:val="808080" w:themeColor="background1" w:themeShade="80"/>
          <w:sz w:val="24"/>
          <w:szCs w:val="24"/>
        </w:rPr>
      </w:pPr>
    </w:p>
    <w:p w:rsidR="00F14286" w:rsidRDefault="00F14286">
      <w:pPr>
        <w:jc w:val="both"/>
        <w:rPr>
          <w:color w:val="808080" w:themeColor="background1" w:themeShade="80"/>
          <w:sz w:val="24"/>
          <w:szCs w:val="24"/>
        </w:rPr>
      </w:pPr>
    </w:p>
    <w:p w:rsidR="00F14286" w:rsidRDefault="0000645E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>
        <w:rPr>
          <w:smallCaps/>
          <w:color w:val="1F497D" w:themeColor="text2"/>
          <w:sz w:val="32"/>
          <w:szCs w:val="32"/>
        </w:rPr>
        <w:t>Calendrier</w:t>
      </w:r>
    </w:p>
    <w:p w:rsidR="00F14286" w:rsidRDefault="0000645E">
      <w:pPr>
        <w:pStyle w:val="Paragraphedeliste"/>
        <w:numPr>
          <w:ilvl w:val="0"/>
          <w:numId w:val="1"/>
        </w:numPr>
        <w:jc w:val="both"/>
      </w:pPr>
      <w:r>
        <w:rPr>
          <w:rFonts w:cstheme="minorHAnsi"/>
          <w:color w:val="1F497D" w:themeColor="text2"/>
          <w:sz w:val="24"/>
          <w:szCs w:val="24"/>
        </w:rPr>
        <w:t>9 octobre au 2 novembre 2020 : Dépôts des candidatures,</w:t>
      </w:r>
    </w:p>
    <w:p w:rsidR="00F14286" w:rsidRDefault="0000645E">
      <w:pPr>
        <w:pStyle w:val="Paragraphedeliste"/>
        <w:numPr>
          <w:ilvl w:val="0"/>
          <w:numId w:val="1"/>
        </w:numPr>
        <w:jc w:val="both"/>
      </w:pPr>
      <w:r>
        <w:rPr>
          <w:rFonts w:cstheme="minorHAnsi"/>
          <w:color w:val="1F497D" w:themeColor="text2"/>
          <w:sz w:val="24"/>
          <w:szCs w:val="24"/>
        </w:rPr>
        <w:t>3 novembre au 2 décembre 2020 : Commissions locales de sélection,</w:t>
      </w:r>
    </w:p>
    <w:p w:rsidR="00F14286" w:rsidRDefault="0000645E">
      <w:pPr>
        <w:pStyle w:val="Paragraphedeliste"/>
        <w:numPr>
          <w:ilvl w:val="0"/>
          <w:numId w:val="1"/>
        </w:numPr>
        <w:jc w:val="both"/>
      </w:pPr>
      <w:r>
        <w:rPr>
          <w:rFonts w:cstheme="minorHAnsi"/>
          <w:color w:val="1F497D" w:themeColor="text2"/>
          <w:sz w:val="24"/>
          <w:szCs w:val="24"/>
        </w:rPr>
        <w:t>2 décembre 2020 au 18 janvier 2021 : Commis</w:t>
      </w:r>
      <w:r>
        <w:rPr>
          <w:rFonts w:cstheme="minorHAnsi"/>
          <w:color w:val="1F497D" w:themeColor="text2"/>
          <w:sz w:val="24"/>
          <w:szCs w:val="24"/>
        </w:rPr>
        <w:t>sions nationales d’attribution (DILCRAH).</w:t>
      </w:r>
    </w:p>
    <w:p w:rsidR="00F14286" w:rsidRDefault="0000645E">
      <w:pPr>
        <w:pStyle w:val="Paragraphedeliste"/>
        <w:numPr>
          <w:ilvl w:val="0"/>
          <w:numId w:val="1"/>
        </w:numPr>
        <w:jc w:val="both"/>
      </w:pPr>
      <w:r>
        <w:rPr>
          <w:rFonts w:cstheme="minorHAnsi"/>
          <w:color w:val="1F497D" w:themeColor="text2"/>
          <w:sz w:val="24"/>
          <w:szCs w:val="24"/>
        </w:rPr>
        <w:t>A partir du 1</w:t>
      </w:r>
      <w:r>
        <w:rPr>
          <w:rFonts w:cstheme="minorHAnsi"/>
          <w:color w:val="1F497D" w:themeColor="text2"/>
          <w:sz w:val="24"/>
          <w:szCs w:val="24"/>
          <w:vertAlign w:val="superscript"/>
        </w:rPr>
        <w:t>er</w:t>
      </w:r>
      <w:r>
        <w:rPr>
          <w:rFonts w:cstheme="minorHAnsi"/>
          <w:color w:val="1F497D" w:themeColor="text2"/>
          <w:sz w:val="24"/>
          <w:szCs w:val="24"/>
        </w:rPr>
        <w:t xml:space="preserve"> février 2021 : Notification des résultats de l’appel à projets aux lauréats</w:t>
      </w:r>
      <w:bookmarkStart w:id="0" w:name="_GoBack"/>
      <w:bookmarkEnd w:id="0"/>
    </w:p>
    <w:sectPr w:rsidR="00F1428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645E">
      <w:pPr>
        <w:spacing w:after="0" w:line="240" w:lineRule="auto"/>
      </w:pPr>
      <w:r>
        <w:separator/>
      </w:r>
    </w:p>
  </w:endnote>
  <w:endnote w:type="continuationSeparator" w:id="0">
    <w:p w:rsidR="00000000" w:rsidRDefault="000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039628"/>
      <w:docPartObj>
        <w:docPartGallery w:val="Page Numbers (Bottom of Page)"/>
        <w:docPartUnique/>
      </w:docPartObj>
    </w:sdtPr>
    <w:sdtEndPr/>
    <w:sdtContent>
      <w:p w:rsidR="00F14286" w:rsidRDefault="0000645E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286" w:rsidRDefault="00F142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970427"/>
      <w:docPartObj>
        <w:docPartGallery w:val="Page Numbers (Bottom of Page)"/>
        <w:docPartUnique/>
      </w:docPartObj>
    </w:sdtPr>
    <w:sdtEndPr/>
    <w:sdtContent>
      <w:p w:rsidR="00F14286" w:rsidRDefault="0000645E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4286" w:rsidRDefault="00F142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86" w:rsidRDefault="0000645E">
      <w:r>
        <w:separator/>
      </w:r>
    </w:p>
  </w:footnote>
  <w:footnote w:type="continuationSeparator" w:id="0">
    <w:p w:rsidR="00F14286" w:rsidRDefault="0000645E">
      <w:r>
        <w:continuationSeparator/>
      </w:r>
    </w:p>
  </w:footnote>
  <w:footnote w:id="1">
    <w:p w:rsidR="00F14286" w:rsidRDefault="0000645E">
      <w:pPr>
        <w:pStyle w:val="Notedebasdepage"/>
      </w:pPr>
      <w:r>
        <w:rPr>
          <w:rStyle w:val="Caractresdenotedebasdepage"/>
        </w:rPr>
        <w:footnoteRef/>
      </w:r>
      <w:r>
        <w:t xml:space="preserve"> </w:t>
      </w:r>
      <w:hyperlink r:id="rId1">
        <w:r>
          <w:rPr>
            <w:rStyle w:val="LienInternet"/>
          </w:rPr>
          <w:t>https://www.gouvernement.fr/documents-dilcra</w:t>
        </w:r>
      </w:hyperlink>
    </w:p>
    <w:p w:rsidR="00F14286" w:rsidRDefault="00F14286">
      <w:pPr>
        <w:pStyle w:val="Notedebasdepage"/>
      </w:pPr>
    </w:p>
  </w:footnote>
  <w:footnote w:id="2">
    <w:p w:rsidR="00F14286" w:rsidRDefault="0000645E">
      <w:pPr>
        <w:pStyle w:val="Notedebasdepage"/>
      </w:pPr>
      <w:r>
        <w:rPr>
          <w:rStyle w:val="Caractresdenotedebasdepage"/>
        </w:rPr>
        <w:footnoteRef/>
      </w:r>
      <w:r>
        <w:t xml:space="preserve"> Pour les nouveaux lauréats uniquement</w:t>
      </w:r>
    </w:p>
    <w:p w:rsidR="00F14286" w:rsidRDefault="00F1428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86" w:rsidRDefault="00F142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86" w:rsidRDefault="00F142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A75"/>
    <w:multiLevelType w:val="multilevel"/>
    <w:tmpl w:val="94C02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7087C"/>
    <w:multiLevelType w:val="multilevel"/>
    <w:tmpl w:val="78D865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37147"/>
    <w:multiLevelType w:val="multilevel"/>
    <w:tmpl w:val="1B18B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286"/>
    <w:rsid w:val="0000645E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B4D4-8D9F-4D3E-BAB4-3FE3DC90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0450C"/>
  </w:style>
  <w:style w:type="character" w:customStyle="1" w:styleId="PieddepageCar">
    <w:name w:val="Pied de page Car"/>
    <w:basedOn w:val="Policepardfaut"/>
    <w:link w:val="Pieddepage"/>
    <w:uiPriority w:val="99"/>
    <w:qFormat/>
    <w:rsid w:val="00C0450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450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E35DA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35DA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35DA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8291B"/>
    <w:rPr>
      <w:rFonts w:ascii="Calibri" w:hAnsi="Calibri" w:cs="Calibri"/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946E73"/>
    <w:rPr>
      <w:color w:val="800080" w:themeColor="followedHyperlink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C64A63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1F497D" w:themeColor="text2"/>
      <w:sz w:val="24"/>
      <w:szCs w:val="24"/>
    </w:rPr>
  </w:style>
  <w:style w:type="character" w:customStyle="1" w:styleId="ListLabel13">
    <w:name w:val="ListLabel 13"/>
    <w:qFormat/>
    <w:rPr>
      <w:rFonts w:cstheme="minorHAnsi"/>
      <w:sz w:val="24"/>
      <w:szCs w:val="24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color w:val="1F497D" w:themeColor="text2"/>
      <w:sz w:val="24"/>
      <w:szCs w:val="24"/>
    </w:rPr>
  </w:style>
  <w:style w:type="character" w:customStyle="1" w:styleId="ListLabel33">
    <w:name w:val="ListLabel 33"/>
    <w:qFormat/>
    <w:rPr>
      <w:rFonts w:cstheme="minorHAnsi"/>
      <w:sz w:val="24"/>
      <w:szCs w:val="24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color w:val="1F497D" w:themeColor="text2"/>
      <w:sz w:val="24"/>
      <w:szCs w:val="24"/>
    </w:rPr>
  </w:style>
  <w:style w:type="character" w:customStyle="1" w:styleId="ListLabel53">
    <w:name w:val="ListLabel 53"/>
    <w:qFormat/>
    <w:rPr>
      <w:rFonts w:cstheme="minorHAnsi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35DA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E35DAC"/>
    <w:rPr>
      <w:b/>
      <w:bCs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lcrah.fr/agen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lcrah.fr/directory/add-directory-li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DB4-CAA6-4EA5-B683-F072A80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Helene ROY-MARCOU</cp:lastModifiedBy>
  <cp:revision>2</cp:revision>
  <cp:lastPrinted>2020-10-11T08:14:00Z</cp:lastPrinted>
  <dcterms:created xsi:type="dcterms:W3CDTF">2020-10-09T10:54:00Z</dcterms:created>
  <dcterms:modified xsi:type="dcterms:W3CDTF">2020-10-11T08:14:00Z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